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700" w:lineRule="exact"/>
        <w:outlineLvl w:val="0"/>
        <w:rPr>
          <w:rFonts w:ascii="黑体" w:hAnsi="黑体" w:eastAsia="黑体" w:cs="黑体"/>
          <w:kern w:val="0"/>
          <w:szCs w:val="22"/>
        </w:rPr>
      </w:pPr>
      <w:r>
        <w:rPr>
          <w:rFonts w:hint="eastAsia" w:ascii="黑体" w:hAnsi="黑体" w:eastAsia="黑体" w:cs="黑体"/>
          <w:kern w:val="0"/>
          <w:szCs w:val="22"/>
        </w:rPr>
        <w:t>附件1</w:t>
      </w:r>
      <w:bookmarkStart w:id="0" w:name="_GoBack"/>
      <w:bookmarkEnd w:id="0"/>
    </w:p>
    <w:p>
      <w:pPr>
        <w:spacing w:after="217" w:afterLines="50" w:line="700" w:lineRule="exact"/>
        <w:jc w:val="center"/>
        <w:rPr>
          <w:rFonts w:eastAsia="方正小标宋简体"/>
          <w:kern w:val="0"/>
          <w:sz w:val="44"/>
        </w:rPr>
      </w:pPr>
      <w:r>
        <w:rPr>
          <w:rFonts w:eastAsia="方正小标宋简体"/>
          <w:kern w:val="0"/>
          <w:sz w:val="44"/>
        </w:rPr>
        <w:t>大赛日程安排</w:t>
      </w:r>
    </w:p>
    <w:tbl>
      <w:tblPr>
        <w:tblStyle w:val="3"/>
        <w:tblW w:w="8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43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tblHeader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kern w:val="0"/>
                <w:sz w:val="28"/>
                <w:szCs w:val="28"/>
              </w:rPr>
              <w:t>时间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8月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筹备大赛方案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8月至10月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大赛宣传、组织培训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日前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后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大赛启动、发布参赛通知和邀请函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拟举办启动仪式暨大赛政策宣讲培训会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10月8日前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项目征集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通过大赛网站注册、报名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28"/>
                <w:szCs w:val="28"/>
              </w:rPr>
              <w:t>10月9日前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报名资格审核及材料形式审查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28"/>
                <w:szCs w:val="28"/>
              </w:rPr>
              <w:t>10月12日前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项目遴选，确定入围预赛项目名单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通过大赛网站在线遴选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28"/>
                <w:szCs w:val="28"/>
              </w:rPr>
              <w:t>10月13日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项目路演培训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线上直播培训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28"/>
                <w:szCs w:val="28"/>
              </w:rPr>
              <w:t>暂定10月17日至18日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深圳站、北京站预赛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“线上+线下”形式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28"/>
                <w:szCs w:val="28"/>
              </w:rPr>
              <w:t>10月19日至20日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通知确认晋级决赛项目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暂定10月30日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决赛（分四个行业领域同步进行）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“线上+线下”形式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时间待定</w:t>
            </w:r>
          </w:p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1.颁奖仪式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2.对接会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、创新创业主题分享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含线上“云对接”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3.考察南宁市城市面貌、创新创业园区、南宁市人才公寓，开展人才落户南宁可享受一揽子政策预评估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1" w:type="dxa"/>
            <w:vAlign w:val="center"/>
          </w:tcPr>
          <w:p>
            <w:pPr>
              <w:widowControl/>
              <w:spacing w:line="360" w:lineRule="exact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11月1日起</w:t>
            </w:r>
          </w:p>
        </w:tc>
        <w:tc>
          <w:tcPr>
            <w:tcW w:w="3943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持续跟踪服务项目落地，启动常态化海（境）外人才项目遴选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可随时报名，不定期组织线上项目路演</w:t>
            </w:r>
          </w:p>
        </w:tc>
      </w:tr>
    </w:tbl>
    <w:p/>
    <w:sectPr>
      <w:pgSz w:w="11906" w:h="16838"/>
      <w:pgMar w:top="2098" w:right="1474" w:bottom="1587" w:left="1701" w:header="851" w:footer="992" w:gutter="0"/>
      <w:paperSrc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145E4"/>
    <w:rsid w:val="436C3975"/>
    <w:rsid w:val="625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yulei</cp:lastModifiedBy>
  <dcterms:modified xsi:type="dcterms:W3CDTF">2020-09-08T01:24:03Z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